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372E9" w14:textId="1282B6BB" w:rsidR="00A0051A" w:rsidRPr="009B3909" w:rsidRDefault="00841797" w:rsidP="009B3909">
      <w:pPr>
        <w:pStyle w:val="Default"/>
        <w:jc w:val="both"/>
        <w:rPr>
          <w:rFonts w:eastAsia="Arial"/>
          <w:bCs/>
          <w:color w:val="58595B"/>
          <w:spacing w:val="-2"/>
          <w:sz w:val="18"/>
          <w:szCs w:val="20"/>
        </w:rPr>
      </w:pPr>
      <w:r>
        <w:rPr>
          <w:rFonts w:eastAsia="Arial"/>
          <w:b/>
          <w:bCs/>
          <w:color w:val="58595B"/>
          <w:spacing w:val="-4"/>
          <w:sz w:val="18"/>
          <w:szCs w:val="20"/>
        </w:rPr>
        <w:t>SLOW-K</w:t>
      </w:r>
      <w:r w:rsidR="003D1C6F" w:rsidRPr="00AA4BE8">
        <w:rPr>
          <w:rFonts w:eastAsia="Arial"/>
          <w:b/>
          <w:bCs/>
          <w:color w:val="58595B"/>
          <w:spacing w:val="-4"/>
          <w:sz w:val="18"/>
          <w:szCs w:val="20"/>
        </w:rPr>
        <w:t xml:space="preserve"> </w:t>
      </w:r>
      <w:r w:rsidR="008C5193">
        <w:rPr>
          <w:rFonts w:eastAsia="Arial"/>
          <w:b/>
          <w:bCs/>
          <w:color w:val="58595B"/>
          <w:sz w:val="18"/>
          <w:szCs w:val="20"/>
        </w:rPr>
        <w:t>(</w:t>
      </w:r>
      <w:r>
        <w:rPr>
          <w:rFonts w:eastAsia="Arial"/>
          <w:b/>
          <w:bCs/>
          <w:color w:val="58595B"/>
          <w:sz w:val="18"/>
          <w:szCs w:val="20"/>
        </w:rPr>
        <w:t>cloreto de potássio</w:t>
      </w:r>
      <w:r w:rsidR="003D1C6F" w:rsidRPr="00AA4BE8">
        <w:rPr>
          <w:rFonts w:eastAsia="Arial"/>
          <w:b/>
          <w:bCs/>
          <w:color w:val="58595B"/>
          <w:sz w:val="18"/>
          <w:szCs w:val="20"/>
        </w:rPr>
        <w:t>).</w:t>
      </w:r>
      <w:r w:rsidR="003D1C6F" w:rsidRPr="00AA4BE8">
        <w:rPr>
          <w:rFonts w:eastAsia="Arial"/>
          <w:b/>
          <w:bCs/>
          <w:color w:val="58595B"/>
          <w:spacing w:val="-15"/>
          <w:sz w:val="18"/>
          <w:szCs w:val="20"/>
        </w:rPr>
        <w:t xml:space="preserve"> </w:t>
      </w:r>
      <w:r w:rsidR="003D1C6F" w:rsidRPr="00AA4BE8">
        <w:rPr>
          <w:rFonts w:eastAsia="Arial"/>
          <w:b/>
          <w:bCs/>
          <w:color w:val="58595B"/>
          <w:sz w:val="18"/>
          <w:szCs w:val="20"/>
        </w:rPr>
        <w:t>INDICAÇÕES:</w:t>
      </w:r>
      <w:r w:rsidR="0057696F" w:rsidRPr="00AA4BE8">
        <w:rPr>
          <w:sz w:val="20"/>
        </w:rPr>
        <w:t xml:space="preserve"> </w:t>
      </w:r>
      <w:r>
        <w:rPr>
          <w:rFonts w:eastAsia="Arial"/>
          <w:color w:val="58595B"/>
          <w:sz w:val="18"/>
          <w:szCs w:val="20"/>
        </w:rPr>
        <w:t>SLOW-K</w:t>
      </w:r>
      <w:r w:rsidR="008C5193" w:rsidRPr="008C5193">
        <w:rPr>
          <w:rFonts w:eastAsia="Arial"/>
          <w:color w:val="58595B"/>
          <w:sz w:val="18"/>
          <w:szCs w:val="20"/>
        </w:rPr>
        <w:t xml:space="preserve"> </w:t>
      </w:r>
      <w:r w:rsidRPr="00841797">
        <w:rPr>
          <w:rFonts w:eastAsia="Arial"/>
          <w:color w:val="58595B"/>
          <w:sz w:val="18"/>
          <w:szCs w:val="20"/>
        </w:rPr>
        <w:t xml:space="preserve">é indicado no tratamento e/ou prevenção da </w:t>
      </w:r>
      <w:proofErr w:type="spellStart"/>
      <w:r w:rsidRPr="00841797">
        <w:rPr>
          <w:rFonts w:eastAsia="Arial"/>
          <w:color w:val="58595B"/>
          <w:sz w:val="18"/>
          <w:szCs w:val="20"/>
        </w:rPr>
        <w:t>hipocalemia</w:t>
      </w:r>
      <w:bookmarkStart w:id="0" w:name="_GoBack"/>
      <w:bookmarkEnd w:id="0"/>
      <w:proofErr w:type="spellEnd"/>
      <w:r w:rsidR="008C5193" w:rsidRPr="008C5193">
        <w:rPr>
          <w:rFonts w:eastAsia="Arial"/>
          <w:color w:val="58595B"/>
          <w:sz w:val="18"/>
          <w:szCs w:val="20"/>
        </w:rPr>
        <w:t xml:space="preserve">. </w:t>
      </w:r>
      <w:r w:rsidR="003D1C6F" w:rsidRPr="00AA4BE8">
        <w:rPr>
          <w:rFonts w:eastAsia="Arial"/>
          <w:b/>
          <w:bCs/>
          <w:color w:val="58595B"/>
          <w:sz w:val="18"/>
          <w:szCs w:val="20"/>
        </w:rPr>
        <w:t>CONTRAINDICAÇÕES:</w:t>
      </w:r>
      <w:r w:rsidR="003D1C6F" w:rsidRPr="00AA4BE8">
        <w:rPr>
          <w:rFonts w:eastAsia="Arial"/>
          <w:b/>
          <w:bCs/>
          <w:color w:val="58595B"/>
          <w:spacing w:val="2"/>
          <w:sz w:val="18"/>
          <w:szCs w:val="20"/>
        </w:rPr>
        <w:t xml:space="preserve"> </w:t>
      </w:r>
      <w:r w:rsidR="008C5193" w:rsidRPr="00841797">
        <w:rPr>
          <w:rFonts w:eastAsia="Arial"/>
          <w:color w:val="58595B"/>
          <w:sz w:val="18"/>
          <w:szCs w:val="20"/>
        </w:rPr>
        <w:t xml:space="preserve">Hipersensibilidade </w:t>
      </w:r>
      <w:r w:rsidRPr="00841797">
        <w:rPr>
          <w:rFonts w:eastAsia="Arial"/>
          <w:color w:val="58595B"/>
          <w:sz w:val="18"/>
          <w:szCs w:val="20"/>
        </w:rPr>
        <w:t>à administração de potássio</w:t>
      </w:r>
      <w:r w:rsidR="000B0973" w:rsidRPr="00841797">
        <w:rPr>
          <w:rFonts w:eastAsia="Arial"/>
          <w:color w:val="58595B"/>
          <w:sz w:val="18"/>
          <w:szCs w:val="20"/>
        </w:rPr>
        <w:t xml:space="preserve">. </w:t>
      </w:r>
      <w:r w:rsidR="006B7CAF" w:rsidRPr="008C5193">
        <w:rPr>
          <w:rFonts w:eastAsia="Arial"/>
          <w:b/>
          <w:bCs/>
          <w:color w:val="58595B"/>
          <w:spacing w:val="2"/>
          <w:sz w:val="18"/>
          <w:szCs w:val="20"/>
        </w:rPr>
        <w:t>Este medicamento</w:t>
      </w:r>
      <w:r w:rsidR="006B7CAF" w:rsidRPr="006B7CAF">
        <w:rPr>
          <w:rFonts w:eastAsia="Arial"/>
          <w:b/>
          <w:bCs/>
          <w:color w:val="58595B"/>
          <w:spacing w:val="2"/>
          <w:sz w:val="18"/>
          <w:szCs w:val="20"/>
          <w:lang w:eastAsia="en-US"/>
        </w:rPr>
        <w:t xml:space="preserve"> é contraindicado para pacientes com insuficiência renal severa</w:t>
      </w:r>
      <w:r w:rsidR="006B7CAF">
        <w:rPr>
          <w:rFonts w:eastAsia="Arial"/>
          <w:b/>
          <w:bCs/>
          <w:color w:val="58595B"/>
          <w:spacing w:val="2"/>
          <w:sz w:val="18"/>
          <w:szCs w:val="20"/>
        </w:rPr>
        <w:t xml:space="preserve"> e</w:t>
      </w:r>
      <w:r w:rsidR="006B7CAF" w:rsidRPr="006B7CAF">
        <w:rPr>
          <w:rFonts w:eastAsia="Arial"/>
          <w:b/>
          <w:bCs/>
          <w:color w:val="58595B"/>
          <w:spacing w:val="2"/>
          <w:sz w:val="18"/>
          <w:szCs w:val="20"/>
        </w:rPr>
        <w:t xml:space="preserve"> menores de 18</w:t>
      </w:r>
      <w:r w:rsidR="008C5193" w:rsidRPr="008C5193">
        <w:rPr>
          <w:rFonts w:eastAsia="Arial"/>
          <w:b/>
          <w:bCs/>
          <w:color w:val="58595B"/>
          <w:spacing w:val="2"/>
          <w:sz w:val="18"/>
          <w:szCs w:val="20"/>
        </w:rPr>
        <w:t xml:space="preserve"> anos.</w:t>
      </w:r>
      <w:r w:rsidR="006E6A16">
        <w:rPr>
          <w:rFonts w:eastAsia="Arial"/>
          <w:b/>
          <w:bCs/>
          <w:color w:val="58595B"/>
          <w:spacing w:val="2"/>
          <w:sz w:val="18"/>
          <w:szCs w:val="20"/>
        </w:rPr>
        <w:t xml:space="preserve"> </w:t>
      </w:r>
      <w:r w:rsidR="003D1C6F" w:rsidRPr="00AA4BE8">
        <w:rPr>
          <w:rFonts w:eastAsia="Arial"/>
          <w:b/>
          <w:bCs/>
          <w:color w:val="58595B"/>
          <w:sz w:val="18"/>
          <w:szCs w:val="20"/>
        </w:rPr>
        <w:t>ADVERTÊNCIAS</w:t>
      </w:r>
      <w:r w:rsidR="006E6A16">
        <w:rPr>
          <w:rFonts w:eastAsia="Arial"/>
          <w:b/>
          <w:bCs/>
          <w:color w:val="58595B"/>
          <w:sz w:val="18"/>
          <w:szCs w:val="20"/>
        </w:rPr>
        <w:t xml:space="preserve"> E </w:t>
      </w:r>
      <w:r w:rsidR="006E6A16" w:rsidRPr="00AA4BE8">
        <w:rPr>
          <w:rFonts w:eastAsia="Arial"/>
          <w:b/>
          <w:bCs/>
          <w:color w:val="58595B"/>
          <w:sz w:val="18"/>
          <w:szCs w:val="20"/>
        </w:rPr>
        <w:t>PRECAUÇÕES</w:t>
      </w:r>
      <w:r w:rsidR="003D1C6F" w:rsidRPr="00AA4BE8">
        <w:rPr>
          <w:rFonts w:eastAsia="Arial"/>
          <w:b/>
          <w:bCs/>
          <w:color w:val="58595B"/>
          <w:sz w:val="18"/>
          <w:szCs w:val="20"/>
        </w:rPr>
        <w:t>:</w:t>
      </w:r>
      <w:r w:rsidR="003D1C6F" w:rsidRPr="00AA4BE8">
        <w:rPr>
          <w:rFonts w:eastAsia="Arial"/>
          <w:b/>
          <w:bCs/>
          <w:color w:val="58595B"/>
          <w:spacing w:val="-2"/>
          <w:sz w:val="18"/>
          <w:szCs w:val="20"/>
        </w:rPr>
        <w:t xml:space="preserve"> </w:t>
      </w:r>
      <w:r w:rsidR="0084189F">
        <w:rPr>
          <w:rFonts w:eastAsia="Arial"/>
          <w:color w:val="58595B"/>
          <w:sz w:val="18"/>
          <w:szCs w:val="20"/>
        </w:rPr>
        <w:t>A</w:t>
      </w:r>
      <w:r w:rsidR="0084189F" w:rsidRPr="0084189F">
        <w:rPr>
          <w:rFonts w:eastAsia="Arial"/>
          <w:color w:val="58595B"/>
          <w:sz w:val="18"/>
          <w:szCs w:val="20"/>
        </w:rPr>
        <w:t xml:space="preserve"> administração de sais de potássio</w:t>
      </w:r>
      <w:r w:rsidR="0084189F">
        <w:rPr>
          <w:rFonts w:eastAsia="Arial"/>
          <w:color w:val="58595B"/>
          <w:sz w:val="18"/>
          <w:szCs w:val="20"/>
        </w:rPr>
        <w:t xml:space="preserve"> requer monitoramento cuidadoso</w:t>
      </w:r>
      <w:r w:rsidR="0084189F" w:rsidRPr="0084189F">
        <w:rPr>
          <w:rFonts w:eastAsia="Arial"/>
          <w:color w:val="58595B"/>
          <w:sz w:val="18"/>
          <w:szCs w:val="20"/>
        </w:rPr>
        <w:t xml:space="preserve"> </w:t>
      </w:r>
      <w:r w:rsidR="0084189F">
        <w:rPr>
          <w:rFonts w:eastAsia="Arial"/>
          <w:color w:val="58595B"/>
          <w:sz w:val="18"/>
          <w:szCs w:val="20"/>
        </w:rPr>
        <w:t>em pacientes com mecanismos limitados para excreção de potássio. Caso haja desenvolvimento de</w:t>
      </w:r>
      <w:r w:rsidR="0084189F" w:rsidRPr="0084189F">
        <w:rPr>
          <w:rFonts w:eastAsia="Arial"/>
          <w:color w:val="58595B"/>
          <w:sz w:val="18"/>
          <w:szCs w:val="20"/>
        </w:rPr>
        <w:t xml:space="preserve"> náusea acentuada, vômito severo, dor abdominal e flatulência severa, </w:t>
      </w:r>
      <w:proofErr w:type="spellStart"/>
      <w:r w:rsidR="0084189F" w:rsidRPr="0084189F">
        <w:rPr>
          <w:rFonts w:eastAsia="Arial"/>
          <w:color w:val="58595B"/>
          <w:sz w:val="18"/>
          <w:szCs w:val="20"/>
        </w:rPr>
        <w:t>diarréia</w:t>
      </w:r>
      <w:proofErr w:type="spellEnd"/>
      <w:r w:rsidR="0084189F" w:rsidRPr="0084189F">
        <w:rPr>
          <w:rFonts w:eastAsia="Arial"/>
          <w:color w:val="58595B"/>
          <w:sz w:val="18"/>
          <w:szCs w:val="20"/>
        </w:rPr>
        <w:t xml:space="preserve"> ou</w:t>
      </w:r>
      <w:r w:rsidR="0084189F">
        <w:rPr>
          <w:rFonts w:eastAsia="Arial"/>
          <w:color w:val="58595B"/>
          <w:sz w:val="18"/>
          <w:szCs w:val="20"/>
        </w:rPr>
        <w:t xml:space="preserve"> hemorragia gastrointestinal, o tratamento deve ser suspenso.</w:t>
      </w:r>
      <w:r w:rsidR="00B4621B">
        <w:rPr>
          <w:rFonts w:eastAsia="Arial"/>
          <w:color w:val="58595B"/>
          <w:sz w:val="18"/>
          <w:szCs w:val="20"/>
        </w:rPr>
        <w:t xml:space="preserve"> </w:t>
      </w:r>
      <w:proofErr w:type="spellStart"/>
      <w:r w:rsidR="00B4621B" w:rsidRPr="00B4621B">
        <w:rPr>
          <w:rFonts w:eastAsia="Arial"/>
          <w:color w:val="58595B"/>
          <w:sz w:val="18"/>
          <w:szCs w:val="20"/>
        </w:rPr>
        <w:t>Hipocalemia</w:t>
      </w:r>
      <w:proofErr w:type="spellEnd"/>
      <w:r w:rsidR="00B4621B" w:rsidRPr="00B4621B">
        <w:rPr>
          <w:rFonts w:eastAsia="Arial"/>
          <w:color w:val="58595B"/>
          <w:sz w:val="18"/>
          <w:szCs w:val="20"/>
        </w:rPr>
        <w:t xml:space="preserve"> em pacientes com acidose metabólica não deve ser tratada com cloreto de potássio, mas com um sal alcalino de potássio, como bicarbonato de potássio, </w:t>
      </w:r>
      <w:proofErr w:type="spellStart"/>
      <w:r w:rsidR="00B4621B" w:rsidRPr="00B4621B">
        <w:rPr>
          <w:rFonts w:eastAsia="Arial"/>
          <w:color w:val="58595B"/>
          <w:sz w:val="18"/>
          <w:szCs w:val="20"/>
        </w:rPr>
        <w:t>citrato</w:t>
      </w:r>
      <w:proofErr w:type="spellEnd"/>
      <w:r w:rsidR="00B4621B" w:rsidRPr="00B4621B">
        <w:rPr>
          <w:rFonts w:eastAsia="Arial"/>
          <w:color w:val="58595B"/>
          <w:sz w:val="18"/>
          <w:szCs w:val="20"/>
        </w:rPr>
        <w:t xml:space="preserve"> de potássio, ou acetato de potássio</w:t>
      </w:r>
      <w:r w:rsidR="00B4621B">
        <w:rPr>
          <w:rFonts w:eastAsia="Arial"/>
          <w:color w:val="58595B"/>
          <w:sz w:val="18"/>
          <w:szCs w:val="20"/>
        </w:rPr>
        <w:t>.</w:t>
      </w:r>
      <w:r w:rsidR="0084189F" w:rsidRPr="00B4621B">
        <w:rPr>
          <w:rFonts w:eastAsia="Arial"/>
          <w:color w:val="58595B"/>
          <w:sz w:val="18"/>
          <w:szCs w:val="20"/>
        </w:rPr>
        <w:t xml:space="preserve"> </w:t>
      </w:r>
      <w:r w:rsidR="006B7CAF" w:rsidRPr="006B7CAF">
        <w:rPr>
          <w:rFonts w:eastAsia="Arial"/>
          <w:b/>
          <w:bCs/>
          <w:color w:val="58595B"/>
          <w:spacing w:val="2"/>
          <w:sz w:val="18"/>
          <w:szCs w:val="20"/>
          <w:lang w:eastAsia="en-US"/>
        </w:rPr>
        <w:t>Atenção diabéticos: contém açúcar.</w:t>
      </w:r>
      <w:r w:rsidR="006E6A16" w:rsidRPr="006E6A16">
        <w:rPr>
          <w:rFonts w:eastAsia="Arial"/>
          <w:bCs/>
          <w:color w:val="58595B"/>
          <w:spacing w:val="-2"/>
          <w:sz w:val="18"/>
          <w:szCs w:val="20"/>
        </w:rPr>
        <w:t xml:space="preserve"> </w:t>
      </w:r>
      <w:r w:rsidR="006E6A16" w:rsidRPr="006E6A16">
        <w:rPr>
          <w:rFonts w:eastAsia="Arial"/>
          <w:b/>
          <w:bCs/>
          <w:color w:val="58595B"/>
          <w:spacing w:val="2"/>
          <w:sz w:val="18"/>
          <w:szCs w:val="20"/>
        </w:rPr>
        <w:t>Este medicamento não deve ser utilizado por mulheres grávidas sem orientação médica ou do cirurgião-dentista.</w:t>
      </w:r>
      <w:r w:rsidR="006E6A16">
        <w:rPr>
          <w:rFonts w:eastAsia="Arial"/>
          <w:bCs/>
          <w:color w:val="58595B"/>
          <w:spacing w:val="-2"/>
          <w:sz w:val="18"/>
          <w:szCs w:val="20"/>
        </w:rPr>
        <w:t xml:space="preserve"> </w:t>
      </w:r>
      <w:r w:rsidR="003D1C6F" w:rsidRPr="00AA4BE8">
        <w:rPr>
          <w:rFonts w:eastAsia="Arial"/>
          <w:b/>
          <w:bCs/>
          <w:color w:val="58595B"/>
          <w:sz w:val="18"/>
          <w:szCs w:val="20"/>
        </w:rPr>
        <w:t>INTERAÇÕES MEDICAMENTOSAS:</w:t>
      </w:r>
      <w:r w:rsidR="0036480E" w:rsidRPr="00AA4BE8">
        <w:rPr>
          <w:rFonts w:eastAsia="Arial"/>
          <w:bCs/>
          <w:color w:val="58595B"/>
          <w:spacing w:val="-2"/>
          <w:sz w:val="18"/>
          <w:szCs w:val="20"/>
        </w:rPr>
        <w:t xml:space="preserve"> </w:t>
      </w:r>
      <w:r w:rsidR="006E6A16" w:rsidRPr="006E6A16">
        <w:rPr>
          <w:rFonts w:eastAsia="Arial"/>
          <w:bCs/>
          <w:color w:val="58595B"/>
          <w:spacing w:val="-2"/>
          <w:sz w:val="18"/>
          <w:szCs w:val="20"/>
        </w:rPr>
        <w:t>O</w:t>
      </w:r>
      <w:r w:rsidR="008B6BE2">
        <w:rPr>
          <w:rFonts w:eastAsia="Arial"/>
          <w:bCs/>
          <w:color w:val="58595B"/>
          <w:spacing w:val="-2"/>
          <w:sz w:val="18"/>
          <w:szCs w:val="20"/>
        </w:rPr>
        <w:t xml:space="preserve"> tratamento concomitante</w:t>
      </w:r>
      <w:r w:rsidR="006E6A16" w:rsidRPr="006E6A16">
        <w:rPr>
          <w:rFonts w:eastAsia="Arial"/>
          <w:bCs/>
          <w:color w:val="58595B"/>
          <w:spacing w:val="-2"/>
          <w:sz w:val="18"/>
          <w:szCs w:val="20"/>
        </w:rPr>
        <w:t xml:space="preserve"> </w:t>
      </w:r>
      <w:r w:rsidR="008B6BE2" w:rsidRPr="008B6BE2">
        <w:rPr>
          <w:rFonts w:eastAsia="Arial"/>
          <w:bCs/>
          <w:color w:val="58595B"/>
          <w:spacing w:val="-2"/>
          <w:sz w:val="18"/>
          <w:szCs w:val="20"/>
        </w:rPr>
        <w:t>com diuréticos poupadores de potássio</w:t>
      </w:r>
      <w:r w:rsidR="008B6BE2">
        <w:rPr>
          <w:rFonts w:eastAsia="Arial"/>
          <w:bCs/>
          <w:color w:val="58595B"/>
          <w:spacing w:val="-2"/>
          <w:sz w:val="18"/>
          <w:szCs w:val="20"/>
        </w:rPr>
        <w:t xml:space="preserve"> e medicamentos que </w:t>
      </w:r>
      <w:r w:rsidR="00C93A7B">
        <w:rPr>
          <w:rFonts w:eastAsia="Arial"/>
          <w:bCs/>
          <w:color w:val="58595B"/>
          <w:spacing w:val="-2"/>
          <w:sz w:val="18"/>
          <w:szCs w:val="20"/>
        </w:rPr>
        <w:t>interferem n</w:t>
      </w:r>
      <w:r w:rsidR="008B6BE2" w:rsidRPr="008B6BE2">
        <w:rPr>
          <w:rFonts w:eastAsia="Arial"/>
          <w:bCs/>
          <w:color w:val="58595B"/>
          <w:spacing w:val="-2"/>
          <w:sz w:val="18"/>
          <w:szCs w:val="20"/>
        </w:rPr>
        <w:t xml:space="preserve">a excreção de potássio é contraindicado. </w:t>
      </w:r>
      <w:r w:rsidR="008B6BE2">
        <w:rPr>
          <w:rFonts w:eastAsia="Arial"/>
          <w:bCs/>
          <w:color w:val="58595B"/>
          <w:spacing w:val="-2"/>
          <w:sz w:val="18"/>
          <w:szCs w:val="20"/>
        </w:rPr>
        <w:t>O uso concomitante com</w:t>
      </w:r>
      <w:r w:rsidR="008B6BE2" w:rsidRPr="008B6BE2">
        <w:rPr>
          <w:rFonts w:eastAsia="Arial"/>
          <w:bCs/>
          <w:color w:val="58595B"/>
          <w:spacing w:val="-2"/>
          <w:sz w:val="18"/>
          <w:szCs w:val="20"/>
        </w:rPr>
        <w:t xml:space="preserve"> anticolinérgic</w:t>
      </w:r>
      <w:r w:rsidR="008B6BE2">
        <w:rPr>
          <w:rFonts w:eastAsia="Arial"/>
          <w:bCs/>
          <w:color w:val="58595B"/>
          <w:spacing w:val="-2"/>
          <w:sz w:val="18"/>
          <w:szCs w:val="20"/>
        </w:rPr>
        <w:t>os deve</w:t>
      </w:r>
      <w:r w:rsidR="008B6BE2" w:rsidRPr="008B6BE2">
        <w:rPr>
          <w:rFonts w:eastAsia="Arial"/>
          <w:bCs/>
          <w:color w:val="58595B"/>
          <w:spacing w:val="-2"/>
          <w:sz w:val="18"/>
          <w:szCs w:val="20"/>
        </w:rPr>
        <w:t xml:space="preserve"> ser prescri</w:t>
      </w:r>
      <w:r w:rsidR="008B6BE2">
        <w:rPr>
          <w:rFonts w:eastAsia="Arial"/>
          <w:bCs/>
          <w:color w:val="58595B"/>
          <w:spacing w:val="-2"/>
          <w:sz w:val="18"/>
          <w:szCs w:val="20"/>
        </w:rPr>
        <w:t>to</w:t>
      </w:r>
      <w:r w:rsidR="008B6BE2" w:rsidRPr="008B6BE2">
        <w:rPr>
          <w:rFonts w:eastAsia="Arial"/>
          <w:bCs/>
          <w:color w:val="58595B"/>
          <w:spacing w:val="-2"/>
          <w:sz w:val="18"/>
          <w:szCs w:val="20"/>
        </w:rPr>
        <w:t xml:space="preserve"> com grande cautela</w:t>
      </w:r>
      <w:r w:rsidR="008B6BE2">
        <w:rPr>
          <w:rFonts w:eastAsia="Arial"/>
          <w:bCs/>
          <w:color w:val="58595B"/>
          <w:spacing w:val="-2"/>
          <w:sz w:val="18"/>
          <w:szCs w:val="20"/>
        </w:rPr>
        <w:t xml:space="preserve">. </w:t>
      </w:r>
      <w:proofErr w:type="spellStart"/>
      <w:r w:rsidR="008B6BE2" w:rsidRPr="008B6BE2">
        <w:rPr>
          <w:rFonts w:eastAsia="Arial"/>
          <w:bCs/>
          <w:color w:val="58595B"/>
          <w:spacing w:val="-2"/>
          <w:sz w:val="18"/>
          <w:szCs w:val="20"/>
        </w:rPr>
        <w:t>Slow</w:t>
      </w:r>
      <w:proofErr w:type="spellEnd"/>
      <w:r w:rsidR="008B6BE2" w:rsidRPr="008B6BE2">
        <w:rPr>
          <w:rFonts w:eastAsia="Arial"/>
          <w:bCs/>
          <w:color w:val="58595B"/>
          <w:spacing w:val="-2"/>
          <w:sz w:val="18"/>
          <w:szCs w:val="20"/>
        </w:rPr>
        <w:t>-K só deve ser administrado durante o aleitamento quando o benefício esperado para a mãe for superior ao risco potencial para o bebê.</w:t>
      </w:r>
      <w:r w:rsidR="006E6A16" w:rsidRPr="006E6A16">
        <w:rPr>
          <w:rFonts w:eastAsia="Arial"/>
          <w:b/>
          <w:bCs/>
          <w:color w:val="58595B"/>
          <w:spacing w:val="-2"/>
          <w:sz w:val="18"/>
          <w:szCs w:val="20"/>
        </w:rPr>
        <w:t xml:space="preserve"> </w:t>
      </w:r>
      <w:r w:rsidR="00C523FF" w:rsidRPr="00AA4BE8">
        <w:rPr>
          <w:rFonts w:eastAsia="Arial"/>
          <w:b/>
          <w:bCs/>
          <w:color w:val="58595B"/>
          <w:spacing w:val="-2"/>
          <w:sz w:val="18"/>
          <w:szCs w:val="20"/>
        </w:rPr>
        <w:t>REAÇÕ</w:t>
      </w:r>
      <w:r w:rsidR="004E2C47">
        <w:rPr>
          <w:rFonts w:eastAsia="Arial"/>
          <w:b/>
          <w:bCs/>
          <w:color w:val="58595B"/>
          <w:spacing w:val="-2"/>
          <w:sz w:val="18"/>
          <w:szCs w:val="20"/>
        </w:rPr>
        <w:t>ES</w:t>
      </w:r>
      <w:r w:rsidR="003C6840" w:rsidRPr="00AA4BE8">
        <w:rPr>
          <w:rFonts w:eastAsia="Arial"/>
          <w:b/>
          <w:bCs/>
          <w:color w:val="58595B"/>
          <w:spacing w:val="-2"/>
          <w:sz w:val="18"/>
          <w:szCs w:val="20"/>
        </w:rPr>
        <w:t xml:space="preserve"> A</w:t>
      </w:r>
      <w:r w:rsidR="004E2C47">
        <w:rPr>
          <w:rFonts w:eastAsia="Arial"/>
          <w:b/>
          <w:bCs/>
          <w:color w:val="58595B"/>
          <w:spacing w:val="-2"/>
          <w:sz w:val="18"/>
          <w:szCs w:val="20"/>
        </w:rPr>
        <w:t>D</w:t>
      </w:r>
      <w:r w:rsidR="003C6840" w:rsidRPr="00AA4BE8">
        <w:rPr>
          <w:rFonts w:eastAsia="Arial"/>
          <w:b/>
          <w:bCs/>
          <w:color w:val="58595B"/>
          <w:spacing w:val="-2"/>
          <w:sz w:val="18"/>
          <w:szCs w:val="20"/>
        </w:rPr>
        <w:t>VERSAS</w:t>
      </w:r>
      <w:r w:rsidR="003C6840" w:rsidRPr="008073BE">
        <w:rPr>
          <w:rFonts w:eastAsia="Arial"/>
          <w:bCs/>
          <w:color w:val="58595B"/>
          <w:spacing w:val="-2"/>
          <w:sz w:val="18"/>
          <w:szCs w:val="20"/>
          <w:lang w:val="en-US"/>
        </w:rPr>
        <w:t xml:space="preserve">: </w:t>
      </w:r>
      <w:proofErr w:type="spellStart"/>
      <w:r w:rsidR="008073BE" w:rsidRPr="008073BE">
        <w:rPr>
          <w:rFonts w:eastAsia="Arial"/>
          <w:bCs/>
          <w:color w:val="58595B"/>
          <w:spacing w:val="-2"/>
          <w:sz w:val="18"/>
          <w:szCs w:val="20"/>
        </w:rPr>
        <w:t>Hipercalemia</w:t>
      </w:r>
      <w:proofErr w:type="spellEnd"/>
      <w:r w:rsidR="008073BE" w:rsidRPr="008073BE">
        <w:rPr>
          <w:rFonts w:eastAsia="Arial"/>
          <w:bCs/>
          <w:color w:val="58595B"/>
          <w:spacing w:val="-2"/>
          <w:sz w:val="18"/>
          <w:szCs w:val="20"/>
        </w:rPr>
        <w:t>, desordens gastrointestinais, obstrução gastrointestinal</w:t>
      </w:r>
      <w:r w:rsidR="008073BE">
        <w:rPr>
          <w:rFonts w:eastAsia="Arial"/>
          <w:bCs/>
          <w:color w:val="58595B"/>
          <w:spacing w:val="-2"/>
          <w:sz w:val="18"/>
          <w:szCs w:val="20"/>
        </w:rPr>
        <w:t>, n</w:t>
      </w:r>
      <w:r w:rsidR="008073BE" w:rsidRPr="008073BE">
        <w:rPr>
          <w:rFonts w:eastAsia="Arial"/>
          <w:bCs/>
          <w:color w:val="58595B"/>
          <w:spacing w:val="-2"/>
          <w:sz w:val="18"/>
          <w:szCs w:val="20"/>
        </w:rPr>
        <w:t xml:space="preserve">áusea, flatulência, vômito, dor abdominal, </w:t>
      </w:r>
      <w:r w:rsidR="008073BE">
        <w:rPr>
          <w:rFonts w:eastAsia="Arial"/>
          <w:bCs/>
          <w:color w:val="58595B"/>
          <w:spacing w:val="-2"/>
          <w:sz w:val="18"/>
          <w:szCs w:val="20"/>
        </w:rPr>
        <w:t>diarreia.</w:t>
      </w:r>
      <w:r w:rsidR="006E6A16" w:rsidRPr="006E6A16">
        <w:rPr>
          <w:rFonts w:eastAsia="Arial"/>
          <w:bCs/>
          <w:color w:val="58595B"/>
          <w:spacing w:val="-2"/>
          <w:sz w:val="18"/>
          <w:szCs w:val="20"/>
        </w:rPr>
        <w:t xml:space="preserve"> </w:t>
      </w:r>
      <w:r w:rsidR="004863CF" w:rsidRPr="00AA4BE8">
        <w:rPr>
          <w:rFonts w:eastAsia="Arial"/>
          <w:b/>
          <w:bCs/>
          <w:color w:val="58595B"/>
          <w:sz w:val="18"/>
          <w:szCs w:val="20"/>
        </w:rPr>
        <w:t>POSOLOGIA E MODO DE USAR</w:t>
      </w:r>
      <w:r w:rsidR="004863CF" w:rsidRPr="008073BE">
        <w:rPr>
          <w:rFonts w:eastAsia="Arial"/>
          <w:bCs/>
          <w:color w:val="58595B"/>
          <w:sz w:val="18"/>
          <w:szCs w:val="20"/>
        </w:rPr>
        <w:t xml:space="preserve">: </w:t>
      </w:r>
      <w:r w:rsidR="008073BE">
        <w:rPr>
          <w:rFonts w:eastAsia="Arial"/>
          <w:bCs/>
          <w:color w:val="58595B"/>
          <w:sz w:val="18"/>
          <w:szCs w:val="20"/>
        </w:rPr>
        <w:t>Em adultos, a</w:t>
      </w:r>
      <w:r w:rsidR="008073BE" w:rsidRPr="008073BE">
        <w:rPr>
          <w:rFonts w:eastAsia="Arial"/>
          <w:bCs/>
          <w:color w:val="58595B"/>
          <w:sz w:val="18"/>
          <w:szCs w:val="20"/>
        </w:rPr>
        <w:t xml:space="preserve"> ingestão</w:t>
      </w:r>
      <w:r w:rsidR="008073BE">
        <w:rPr>
          <w:rFonts w:eastAsia="Arial"/>
          <w:bCs/>
          <w:color w:val="58595B"/>
          <w:sz w:val="18"/>
          <w:szCs w:val="20"/>
        </w:rPr>
        <w:t xml:space="preserve"> usual é</w:t>
      </w:r>
      <w:r w:rsidR="008073BE" w:rsidRPr="008073BE">
        <w:rPr>
          <w:rFonts w:eastAsia="Arial"/>
          <w:bCs/>
          <w:color w:val="58595B"/>
          <w:sz w:val="18"/>
          <w:szCs w:val="20"/>
        </w:rPr>
        <w:t xml:space="preserve"> </w:t>
      </w:r>
      <w:r w:rsidR="008073BE" w:rsidRPr="008073BE">
        <w:rPr>
          <w:rFonts w:eastAsia="Arial"/>
          <w:bCs/>
          <w:color w:val="58595B"/>
          <w:spacing w:val="-2"/>
          <w:sz w:val="18"/>
          <w:szCs w:val="20"/>
        </w:rPr>
        <w:t>uma dosagem diária de 2 a 3 drágeas</w:t>
      </w:r>
      <w:r w:rsidR="008073BE">
        <w:rPr>
          <w:rFonts w:eastAsia="Arial"/>
          <w:bCs/>
          <w:color w:val="58595B"/>
          <w:spacing w:val="-2"/>
          <w:sz w:val="18"/>
          <w:szCs w:val="20"/>
        </w:rPr>
        <w:t>, podendo ser adequado conforme necessário</w:t>
      </w:r>
      <w:r w:rsidR="008073BE" w:rsidRPr="008073BE">
        <w:rPr>
          <w:rFonts w:eastAsia="Arial"/>
          <w:bCs/>
          <w:color w:val="58595B"/>
          <w:spacing w:val="-2"/>
          <w:sz w:val="18"/>
          <w:szCs w:val="20"/>
        </w:rPr>
        <w:t>.</w:t>
      </w:r>
      <w:r w:rsidR="008073BE">
        <w:rPr>
          <w:rFonts w:eastAsia="Arial"/>
          <w:bCs/>
          <w:color w:val="58595B"/>
          <w:spacing w:val="-2"/>
          <w:sz w:val="18"/>
          <w:szCs w:val="20"/>
        </w:rPr>
        <w:t xml:space="preserve"> Em pacientes geriátricos, </w:t>
      </w:r>
      <w:proofErr w:type="spellStart"/>
      <w:r w:rsidR="008073BE" w:rsidRPr="008073BE">
        <w:rPr>
          <w:rFonts w:eastAsia="Arial"/>
          <w:bCs/>
          <w:color w:val="58595B"/>
          <w:spacing w:val="-2"/>
          <w:sz w:val="18"/>
          <w:szCs w:val="20"/>
        </w:rPr>
        <w:t>Slow</w:t>
      </w:r>
      <w:proofErr w:type="spellEnd"/>
      <w:r w:rsidR="008073BE" w:rsidRPr="008073BE">
        <w:rPr>
          <w:rFonts w:eastAsia="Arial"/>
          <w:bCs/>
          <w:color w:val="58595B"/>
          <w:spacing w:val="-2"/>
          <w:sz w:val="18"/>
          <w:szCs w:val="20"/>
        </w:rPr>
        <w:t>-K pode ser administrado com extrema cautela com frequente monitoramento do potássio sérico.</w:t>
      </w:r>
      <w:r w:rsidR="008073BE">
        <w:rPr>
          <w:rFonts w:eastAsia="Arial"/>
          <w:bCs/>
          <w:color w:val="58595B"/>
          <w:spacing w:val="-2"/>
          <w:sz w:val="18"/>
          <w:szCs w:val="20"/>
        </w:rPr>
        <w:t xml:space="preserve"> </w:t>
      </w:r>
      <w:r w:rsidR="008073BE" w:rsidRPr="008073BE">
        <w:rPr>
          <w:rFonts w:eastAsia="Arial"/>
          <w:bCs/>
          <w:color w:val="58595B"/>
          <w:spacing w:val="-2"/>
          <w:sz w:val="18"/>
          <w:szCs w:val="20"/>
        </w:rPr>
        <w:t xml:space="preserve">É aconselhável administrar o </w:t>
      </w:r>
      <w:proofErr w:type="spellStart"/>
      <w:r w:rsidR="008073BE" w:rsidRPr="008073BE">
        <w:rPr>
          <w:rFonts w:eastAsia="Arial"/>
          <w:bCs/>
          <w:color w:val="58595B"/>
          <w:spacing w:val="-2"/>
          <w:sz w:val="18"/>
          <w:szCs w:val="20"/>
        </w:rPr>
        <w:t>Slow</w:t>
      </w:r>
      <w:proofErr w:type="spellEnd"/>
      <w:r w:rsidR="008073BE" w:rsidRPr="008073BE">
        <w:rPr>
          <w:rFonts w:eastAsia="Arial"/>
          <w:bCs/>
          <w:color w:val="58595B"/>
          <w:spacing w:val="-2"/>
          <w:sz w:val="18"/>
          <w:szCs w:val="20"/>
        </w:rPr>
        <w:t>-</w:t>
      </w:r>
      <w:proofErr w:type="gramStart"/>
      <w:r w:rsidR="008073BE" w:rsidRPr="008073BE">
        <w:rPr>
          <w:rFonts w:eastAsia="Arial"/>
          <w:bCs/>
          <w:color w:val="58595B"/>
          <w:spacing w:val="-2"/>
          <w:sz w:val="18"/>
          <w:szCs w:val="20"/>
        </w:rPr>
        <w:t>k</w:t>
      </w:r>
      <w:proofErr w:type="gramEnd"/>
      <w:r w:rsidR="008073BE" w:rsidRPr="008073BE">
        <w:rPr>
          <w:rFonts w:eastAsia="Arial"/>
          <w:bCs/>
          <w:color w:val="58595B"/>
          <w:spacing w:val="-2"/>
          <w:sz w:val="18"/>
          <w:szCs w:val="20"/>
        </w:rPr>
        <w:t xml:space="preserve"> durante ou após as refeições para minimizar irritação gástrica. As drágeas devem ser ingeridas inteiras, com ajuda de líquido, enquant</w:t>
      </w:r>
      <w:r w:rsidR="008073BE">
        <w:rPr>
          <w:rFonts w:eastAsia="Arial"/>
          <w:bCs/>
          <w:color w:val="58595B"/>
          <w:spacing w:val="-2"/>
          <w:sz w:val="18"/>
          <w:szCs w:val="20"/>
        </w:rPr>
        <w:t xml:space="preserve">o o paciente estiver sentado, </w:t>
      </w:r>
      <w:r w:rsidR="008073BE" w:rsidRPr="008073BE">
        <w:rPr>
          <w:rFonts w:eastAsia="Arial"/>
          <w:bCs/>
          <w:color w:val="58595B"/>
          <w:spacing w:val="-2"/>
          <w:sz w:val="18"/>
          <w:szCs w:val="20"/>
        </w:rPr>
        <w:t>não pode</w:t>
      </w:r>
      <w:r w:rsidR="008073BE">
        <w:rPr>
          <w:rFonts w:eastAsia="Arial"/>
          <w:bCs/>
          <w:color w:val="58595B"/>
          <w:spacing w:val="-2"/>
          <w:sz w:val="18"/>
          <w:szCs w:val="20"/>
        </w:rPr>
        <w:t>ndo</w:t>
      </w:r>
      <w:r w:rsidR="008073BE" w:rsidRPr="008073BE">
        <w:rPr>
          <w:rFonts w:eastAsia="Arial"/>
          <w:bCs/>
          <w:color w:val="58595B"/>
          <w:spacing w:val="-2"/>
          <w:sz w:val="18"/>
          <w:szCs w:val="20"/>
        </w:rPr>
        <w:t xml:space="preserve"> ser trituradas, mastigadas ou chupadas.</w:t>
      </w:r>
      <w:r w:rsidR="009B3909">
        <w:rPr>
          <w:rFonts w:eastAsia="Arial"/>
          <w:bCs/>
          <w:color w:val="58595B"/>
          <w:spacing w:val="-2"/>
          <w:sz w:val="18"/>
          <w:szCs w:val="20"/>
        </w:rPr>
        <w:t xml:space="preserve"> </w:t>
      </w:r>
      <w:r w:rsidR="003D1C6F" w:rsidRPr="00AA4BE8">
        <w:rPr>
          <w:rFonts w:eastAsia="Arial"/>
          <w:b/>
          <w:bCs/>
          <w:color w:val="58595B"/>
          <w:sz w:val="18"/>
          <w:szCs w:val="20"/>
        </w:rPr>
        <w:t>VENDA</w:t>
      </w:r>
      <w:r w:rsidR="003D1C6F" w:rsidRPr="00AA4BE8">
        <w:rPr>
          <w:rFonts w:eastAsia="Arial"/>
          <w:b/>
          <w:bCs/>
          <w:color w:val="58595B"/>
          <w:spacing w:val="5"/>
          <w:sz w:val="18"/>
          <w:szCs w:val="20"/>
        </w:rPr>
        <w:t xml:space="preserve"> </w:t>
      </w:r>
      <w:r w:rsidR="003D1C6F" w:rsidRPr="00AA4BE8">
        <w:rPr>
          <w:rFonts w:eastAsia="Arial"/>
          <w:b/>
          <w:bCs/>
          <w:color w:val="58595B"/>
          <w:sz w:val="18"/>
          <w:szCs w:val="20"/>
        </w:rPr>
        <w:t>SOB</w:t>
      </w:r>
      <w:r w:rsidR="003D1C6F" w:rsidRPr="00AA4BE8">
        <w:rPr>
          <w:rFonts w:eastAsia="Arial"/>
          <w:b/>
          <w:bCs/>
          <w:color w:val="58595B"/>
          <w:spacing w:val="1"/>
          <w:sz w:val="18"/>
          <w:szCs w:val="20"/>
        </w:rPr>
        <w:t xml:space="preserve"> </w:t>
      </w:r>
      <w:r w:rsidR="003D1C6F" w:rsidRPr="00AA4BE8">
        <w:rPr>
          <w:rFonts w:eastAsia="Arial"/>
          <w:b/>
          <w:bCs/>
          <w:color w:val="58595B"/>
          <w:sz w:val="18"/>
          <w:szCs w:val="20"/>
        </w:rPr>
        <w:t>PRESCRIÇÃO</w:t>
      </w:r>
      <w:r w:rsidR="003D1C6F" w:rsidRPr="00AA4BE8">
        <w:rPr>
          <w:rFonts w:eastAsia="Arial"/>
          <w:b/>
          <w:bCs/>
          <w:color w:val="58595B"/>
          <w:spacing w:val="5"/>
          <w:sz w:val="18"/>
          <w:szCs w:val="20"/>
        </w:rPr>
        <w:t xml:space="preserve"> </w:t>
      </w:r>
      <w:r w:rsidR="003D1C6F" w:rsidRPr="00AA4BE8">
        <w:rPr>
          <w:rFonts w:eastAsia="Arial"/>
          <w:b/>
          <w:bCs/>
          <w:color w:val="58595B"/>
          <w:sz w:val="18"/>
          <w:szCs w:val="20"/>
        </w:rPr>
        <w:t>MÉDICA</w:t>
      </w:r>
      <w:r w:rsidR="006E6A16">
        <w:rPr>
          <w:rFonts w:eastAsia="Arial"/>
          <w:b/>
          <w:bCs/>
          <w:color w:val="58595B"/>
          <w:sz w:val="18"/>
          <w:szCs w:val="20"/>
        </w:rPr>
        <w:t xml:space="preserve">. </w:t>
      </w:r>
      <w:r w:rsidR="003D1C6F" w:rsidRPr="00AA4BE8">
        <w:rPr>
          <w:rFonts w:eastAsia="Arial"/>
          <w:color w:val="58595B"/>
          <w:sz w:val="18"/>
          <w:szCs w:val="20"/>
        </w:rPr>
        <w:t xml:space="preserve">Registro MS – </w:t>
      </w:r>
      <w:r w:rsidR="009B3909">
        <w:rPr>
          <w:rFonts w:eastAsia="Arial"/>
          <w:color w:val="58595B"/>
          <w:sz w:val="18"/>
          <w:szCs w:val="20"/>
        </w:rPr>
        <w:t>1.0497.147</w:t>
      </w:r>
      <w:r w:rsidR="006E6A16" w:rsidRPr="006E6A16">
        <w:rPr>
          <w:rFonts w:eastAsia="Arial"/>
          <w:color w:val="58595B"/>
          <w:sz w:val="18"/>
          <w:szCs w:val="20"/>
        </w:rPr>
        <w:t>0</w:t>
      </w:r>
      <w:r w:rsidR="003D1C6F" w:rsidRPr="00AA4BE8">
        <w:rPr>
          <w:rFonts w:eastAsia="Arial"/>
          <w:color w:val="58595B"/>
          <w:sz w:val="18"/>
          <w:szCs w:val="20"/>
        </w:rPr>
        <w:t>.</w:t>
      </w:r>
    </w:p>
    <w:p w14:paraId="7E1C475B" w14:textId="77777777" w:rsidR="00A0051A" w:rsidRPr="0057696F" w:rsidRDefault="00A0051A">
      <w:pPr>
        <w:spacing w:after="0" w:line="200" w:lineRule="exact"/>
        <w:rPr>
          <w:sz w:val="20"/>
          <w:szCs w:val="20"/>
          <w:lang w:val="pt-BR"/>
        </w:rPr>
      </w:pPr>
    </w:p>
    <w:p w14:paraId="2680511B" w14:textId="77777777" w:rsidR="00A0051A" w:rsidRPr="0057696F" w:rsidRDefault="00A0051A">
      <w:pPr>
        <w:spacing w:before="9" w:after="0" w:line="200" w:lineRule="exact"/>
        <w:rPr>
          <w:sz w:val="20"/>
          <w:szCs w:val="20"/>
          <w:lang w:val="pt-BR"/>
        </w:rPr>
      </w:pPr>
    </w:p>
    <w:p w14:paraId="63C6928B" w14:textId="1A33AC4A" w:rsidR="00792AFC" w:rsidRDefault="003D1C6F">
      <w:pPr>
        <w:spacing w:after="0" w:line="250" w:lineRule="auto"/>
        <w:ind w:left="117" w:right="59"/>
        <w:jc w:val="both"/>
        <w:rPr>
          <w:rFonts w:ascii="Arial" w:eastAsia="Arial" w:hAnsi="Arial" w:cs="Arial"/>
          <w:color w:val="58595B"/>
          <w:lang w:val="pt-BR"/>
        </w:rPr>
      </w:pPr>
      <w:r w:rsidRPr="0057696F">
        <w:rPr>
          <w:rFonts w:ascii="Arial" w:eastAsia="Arial" w:hAnsi="Arial" w:cs="Arial"/>
          <w:b/>
          <w:bCs/>
          <w:color w:val="58595B"/>
          <w:lang w:val="pt-BR"/>
        </w:rPr>
        <w:t xml:space="preserve">CONTRAINDICAÇÕES: </w:t>
      </w:r>
      <w:r w:rsidR="00792AFC" w:rsidRPr="00792AFC">
        <w:rPr>
          <w:rFonts w:ascii="Arial" w:eastAsia="Arial" w:hAnsi="Arial" w:cs="Arial"/>
          <w:color w:val="58595B"/>
          <w:lang w:val="pt-BR"/>
        </w:rPr>
        <w:t xml:space="preserve">Hipersensibilidade </w:t>
      </w:r>
      <w:r w:rsidR="009B3909" w:rsidRPr="009B3909">
        <w:rPr>
          <w:rFonts w:ascii="Arial" w:eastAsia="Arial" w:hAnsi="Arial" w:cs="Arial"/>
          <w:color w:val="58595B"/>
          <w:lang w:val="pt-BR"/>
        </w:rPr>
        <w:t>à administração de potássio.</w:t>
      </w:r>
      <w:r w:rsidR="00792AFC" w:rsidRPr="00792AFC">
        <w:rPr>
          <w:rFonts w:ascii="Arial" w:eastAsia="Arial" w:hAnsi="Arial" w:cs="Arial"/>
          <w:color w:val="58595B"/>
          <w:lang w:val="pt-BR"/>
        </w:rPr>
        <w:t xml:space="preserve"> </w:t>
      </w:r>
      <w:r w:rsidR="00792AFC" w:rsidRPr="00792AFC">
        <w:rPr>
          <w:rFonts w:ascii="Arial" w:eastAsia="Arial" w:hAnsi="Arial" w:cs="Arial"/>
          <w:b/>
          <w:color w:val="58595B"/>
          <w:lang w:val="pt-BR"/>
        </w:rPr>
        <w:t>Este medicamento é contraindicado para menores de 1</w:t>
      </w:r>
      <w:r w:rsidR="009B3909">
        <w:rPr>
          <w:rFonts w:ascii="Arial" w:eastAsia="Arial" w:hAnsi="Arial" w:cs="Arial"/>
          <w:b/>
          <w:color w:val="58595B"/>
          <w:lang w:val="pt-BR"/>
        </w:rPr>
        <w:t>8</w:t>
      </w:r>
      <w:r w:rsidR="00792AFC" w:rsidRPr="00792AFC">
        <w:rPr>
          <w:rFonts w:ascii="Arial" w:eastAsia="Arial" w:hAnsi="Arial" w:cs="Arial"/>
          <w:b/>
          <w:color w:val="58595B"/>
          <w:lang w:val="pt-BR"/>
        </w:rPr>
        <w:t xml:space="preserve"> anos.</w:t>
      </w:r>
    </w:p>
    <w:p w14:paraId="58AB0112" w14:textId="77777777" w:rsidR="00792AFC" w:rsidRDefault="00792AFC">
      <w:pPr>
        <w:spacing w:after="0" w:line="250" w:lineRule="auto"/>
        <w:ind w:left="117" w:right="59"/>
        <w:jc w:val="both"/>
        <w:rPr>
          <w:rFonts w:ascii="Arial" w:eastAsia="Arial" w:hAnsi="Arial" w:cs="Arial"/>
          <w:b/>
          <w:bCs/>
          <w:color w:val="58595B"/>
          <w:lang w:val="pt-BR"/>
        </w:rPr>
      </w:pPr>
    </w:p>
    <w:p w14:paraId="0351CED4" w14:textId="67CA63A3" w:rsidR="00841797" w:rsidRDefault="004E2C47" w:rsidP="003E2ED7">
      <w:pPr>
        <w:spacing w:after="0" w:line="250" w:lineRule="auto"/>
        <w:ind w:left="117" w:right="59"/>
        <w:jc w:val="both"/>
        <w:rPr>
          <w:rFonts w:ascii="Arial" w:eastAsia="Arial" w:hAnsi="Arial" w:cs="Arial"/>
          <w:color w:val="58595B"/>
          <w:lang w:val="pt-BR"/>
        </w:rPr>
      </w:pPr>
      <w:r>
        <w:rPr>
          <w:rFonts w:ascii="Arial" w:eastAsia="Arial" w:hAnsi="Arial" w:cs="Arial"/>
          <w:b/>
          <w:bCs/>
          <w:color w:val="58595B"/>
          <w:lang w:val="pt-BR"/>
        </w:rPr>
        <w:t>INTERAÇÕES</w:t>
      </w:r>
      <w:r w:rsidR="003D1C6F" w:rsidRPr="0057696F">
        <w:rPr>
          <w:rFonts w:ascii="Arial" w:eastAsia="Arial" w:hAnsi="Arial" w:cs="Arial"/>
          <w:b/>
          <w:bCs/>
          <w:color w:val="58595B"/>
          <w:spacing w:val="-23"/>
          <w:lang w:val="pt-BR"/>
        </w:rPr>
        <w:t xml:space="preserve"> </w:t>
      </w:r>
      <w:r w:rsidR="003D1C6F" w:rsidRPr="0057696F">
        <w:rPr>
          <w:rFonts w:ascii="Arial" w:eastAsia="Arial" w:hAnsi="Arial" w:cs="Arial"/>
          <w:b/>
          <w:bCs/>
          <w:color w:val="58595B"/>
          <w:lang w:val="pt-BR"/>
        </w:rPr>
        <w:t>MEDICAMEN</w:t>
      </w:r>
      <w:r w:rsidR="003D1C6F" w:rsidRPr="0057696F">
        <w:rPr>
          <w:rFonts w:ascii="Arial" w:eastAsia="Arial" w:hAnsi="Arial" w:cs="Arial"/>
          <w:b/>
          <w:bCs/>
          <w:color w:val="58595B"/>
          <w:spacing w:val="-4"/>
          <w:lang w:val="pt-BR"/>
        </w:rPr>
        <w:t>T</w:t>
      </w:r>
      <w:r w:rsidR="003D1C6F" w:rsidRPr="0057696F">
        <w:rPr>
          <w:rFonts w:ascii="Arial" w:eastAsia="Arial" w:hAnsi="Arial" w:cs="Arial"/>
          <w:b/>
          <w:bCs/>
          <w:color w:val="58595B"/>
          <w:lang w:val="pt-BR"/>
        </w:rPr>
        <w:t>OSA</w:t>
      </w:r>
      <w:r>
        <w:rPr>
          <w:rFonts w:ascii="Arial" w:eastAsia="Arial" w:hAnsi="Arial" w:cs="Arial"/>
          <w:b/>
          <w:bCs/>
          <w:color w:val="58595B"/>
          <w:lang w:val="pt-BR"/>
        </w:rPr>
        <w:t>S</w:t>
      </w:r>
      <w:r w:rsidR="003D1C6F" w:rsidRPr="0057696F">
        <w:rPr>
          <w:rFonts w:ascii="Arial" w:eastAsia="Arial" w:hAnsi="Arial" w:cs="Arial"/>
          <w:b/>
          <w:bCs/>
          <w:color w:val="58595B"/>
          <w:lang w:val="pt-BR"/>
        </w:rPr>
        <w:t>:</w:t>
      </w:r>
      <w:r w:rsidR="003D1C6F" w:rsidRPr="0057696F">
        <w:rPr>
          <w:rFonts w:ascii="Arial" w:eastAsia="Arial" w:hAnsi="Arial" w:cs="Arial"/>
          <w:b/>
          <w:bCs/>
          <w:color w:val="58595B"/>
          <w:spacing w:val="-23"/>
          <w:lang w:val="pt-BR"/>
        </w:rPr>
        <w:t xml:space="preserve"> </w:t>
      </w:r>
      <w:r w:rsidR="00E528AD" w:rsidRPr="00E528AD">
        <w:rPr>
          <w:rFonts w:ascii="Arial" w:eastAsia="Arial" w:hAnsi="Arial" w:cs="Arial"/>
          <w:color w:val="58595B"/>
          <w:lang w:val="pt-BR"/>
        </w:rPr>
        <w:t xml:space="preserve">O uso concomitante com </w:t>
      </w:r>
      <w:r w:rsidR="009B3909" w:rsidRPr="009B3909">
        <w:rPr>
          <w:rFonts w:ascii="Arial" w:eastAsia="Arial" w:hAnsi="Arial" w:cs="Arial"/>
          <w:color w:val="58595B"/>
          <w:lang w:val="pt-BR"/>
        </w:rPr>
        <w:t xml:space="preserve">medicamentos que </w:t>
      </w:r>
      <w:r w:rsidR="009B3909">
        <w:rPr>
          <w:rFonts w:ascii="Arial" w:eastAsia="Arial" w:hAnsi="Arial" w:cs="Arial"/>
          <w:color w:val="58595B"/>
          <w:lang w:val="pt-BR"/>
        </w:rPr>
        <w:t>interferem n</w:t>
      </w:r>
      <w:r w:rsidR="009B3909" w:rsidRPr="009B3909">
        <w:rPr>
          <w:rFonts w:ascii="Arial" w:eastAsia="Arial" w:hAnsi="Arial" w:cs="Arial"/>
          <w:color w:val="58595B"/>
          <w:lang w:val="pt-BR"/>
        </w:rPr>
        <w:t>a excreção de potássio</w:t>
      </w:r>
      <w:r w:rsidR="009B3909" w:rsidRPr="008B6BE2">
        <w:rPr>
          <w:rFonts w:ascii="Arial" w:eastAsia="Arial" w:hAnsi="Arial" w:cs="Arial"/>
          <w:bCs/>
          <w:color w:val="58595B"/>
          <w:spacing w:val="-2"/>
          <w:sz w:val="18"/>
          <w:szCs w:val="20"/>
        </w:rPr>
        <w:t xml:space="preserve"> </w:t>
      </w:r>
      <w:r w:rsidR="00E528AD" w:rsidRPr="00E528AD">
        <w:rPr>
          <w:rFonts w:ascii="Arial" w:eastAsia="Arial" w:hAnsi="Arial" w:cs="Arial"/>
          <w:color w:val="58595B"/>
          <w:lang w:val="pt-BR"/>
        </w:rPr>
        <w:t>não é recomendado.</w:t>
      </w:r>
    </w:p>
    <w:p w14:paraId="7BB4F1C4" w14:textId="67ABD57A" w:rsidR="00DD2B2C" w:rsidRDefault="00DD2B2C">
      <w:pPr>
        <w:spacing w:after="0" w:line="250" w:lineRule="auto"/>
        <w:ind w:left="117" w:right="59"/>
        <w:jc w:val="both"/>
        <w:rPr>
          <w:rFonts w:ascii="Arial" w:eastAsia="Arial" w:hAnsi="Arial" w:cs="Arial"/>
          <w:lang w:val="pt-BR"/>
        </w:rPr>
      </w:pPr>
    </w:p>
    <w:p w14:paraId="46298B1A" w14:textId="77777777" w:rsidR="00DD2B2C" w:rsidRPr="0057696F" w:rsidRDefault="00DD2B2C">
      <w:pPr>
        <w:spacing w:after="0" w:line="250" w:lineRule="auto"/>
        <w:ind w:left="117" w:right="59"/>
        <w:jc w:val="both"/>
        <w:rPr>
          <w:rFonts w:ascii="Arial" w:eastAsia="Arial" w:hAnsi="Arial" w:cs="Arial"/>
          <w:lang w:val="pt-BR"/>
        </w:rPr>
      </w:pPr>
    </w:p>
    <w:sectPr w:rsidR="00DD2B2C" w:rsidRPr="0057696F">
      <w:pgSz w:w="11920" w:h="16840"/>
      <w:pgMar w:top="6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1A"/>
    <w:rsid w:val="00090EB4"/>
    <w:rsid w:val="000B0973"/>
    <w:rsid w:val="00252CE7"/>
    <w:rsid w:val="002C7D1B"/>
    <w:rsid w:val="00361DB2"/>
    <w:rsid w:val="0036480E"/>
    <w:rsid w:val="003C6840"/>
    <w:rsid w:val="003D1C6F"/>
    <w:rsid w:val="003E2ED7"/>
    <w:rsid w:val="004021A1"/>
    <w:rsid w:val="00463CF6"/>
    <w:rsid w:val="004863CF"/>
    <w:rsid w:val="004E2C47"/>
    <w:rsid w:val="0057696F"/>
    <w:rsid w:val="006B7CAF"/>
    <w:rsid w:val="006E6A16"/>
    <w:rsid w:val="00792AFC"/>
    <w:rsid w:val="008073BE"/>
    <w:rsid w:val="00841797"/>
    <w:rsid w:val="0084189F"/>
    <w:rsid w:val="008534A7"/>
    <w:rsid w:val="008B6BE2"/>
    <w:rsid w:val="008C5193"/>
    <w:rsid w:val="00910B4F"/>
    <w:rsid w:val="00974A47"/>
    <w:rsid w:val="009B3909"/>
    <w:rsid w:val="00A0051A"/>
    <w:rsid w:val="00AA4BE8"/>
    <w:rsid w:val="00AF532A"/>
    <w:rsid w:val="00B05550"/>
    <w:rsid w:val="00B4621B"/>
    <w:rsid w:val="00C34247"/>
    <w:rsid w:val="00C523FF"/>
    <w:rsid w:val="00C93A7B"/>
    <w:rsid w:val="00CD1A53"/>
    <w:rsid w:val="00DD2B2C"/>
    <w:rsid w:val="00E06083"/>
    <w:rsid w:val="00E528AD"/>
    <w:rsid w:val="00FD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778F"/>
  <w15:docId w15:val="{161DC349-0313-4369-9B43-77528E4D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6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696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63C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3CF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3C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3C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3CF6"/>
    <w:rPr>
      <w:b/>
      <w:bCs/>
      <w:sz w:val="20"/>
      <w:szCs w:val="20"/>
    </w:rPr>
  </w:style>
  <w:style w:type="paragraph" w:customStyle="1" w:styleId="Default">
    <w:name w:val="Default"/>
    <w:rsid w:val="00841797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325</Words>
  <Characters>1970</Characters>
  <Application>Microsoft Office Word</Application>
  <DocSecurity>0</DocSecurity>
  <Lines>197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DF022227A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Thaina Saviolo Costa</dc:creator>
  <cp:lastModifiedBy>Ana Rosa de Jesus Fusco</cp:lastModifiedBy>
  <cp:revision>10</cp:revision>
  <dcterms:created xsi:type="dcterms:W3CDTF">2021-10-28T11:36:00Z</dcterms:created>
  <dcterms:modified xsi:type="dcterms:W3CDTF">2021-12-10T16:59:00Z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LastSaved">
    <vt:filetime>2021-03-10T00:00:00Z</vt:filetime>
  </property>
</Properties>
</file>